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2" w:rightFromText="142" w:vertAnchor="text" w:horzAnchor="margin" w:tblpXSpec="right" w:tblpY="3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18"/>
        <w:gridCol w:w="159"/>
        <w:gridCol w:w="2703"/>
      </w:tblGrid>
      <w:tr w:rsidR="0060421E" w:rsidRPr="00632047" w14:paraId="2A51D2F6" w14:textId="77777777" w:rsidTr="00EB390F">
        <w:trPr>
          <w:trHeight w:val="266"/>
        </w:trPr>
        <w:tc>
          <w:tcPr>
            <w:tcW w:w="1418" w:type="dxa"/>
            <w:vAlign w:val="bottom"/>
          </w:tcPr>
          <w:p w14:paraId="3B3BF9F8" w14:textId="77777777" w:rsidR="0060421E" w:rsidRPr="00EB390F" w:rsidRDefault="00EB390F" w:rsidP="0060421E">
            <w:pPr>
              <w:pStyle w:val="TitelinTabelle"/>
              <w:framePr w:hSpace="0" w:wrap="auto" w:vAnchor="margin" w:hAnchor="text" w:xAlign="left" w:yAlign="inline"/>
              <w:rPr>
                <w:rFonts w:cs="Arial"/>
                <w:position w:val="3"/>
                <w:lang w:val="en-GB"/>
              </w:rPr>
            </w:pPr>
            <w:r w:rsidRPr="00EB390F">
              <w:rPr>
                <w:rFonts w:cs="Arial"/>
                <w:position w:val="3"/>
                <w:lang w:val="en-GB"/>
              </w:rPr>
              <w:t>Not to</w:t>
            </w:r>
            <w:r>
              <w:rPr>
                <w:rFonts w:cs="Arial"/>
                <w:position w:val="3"/>
                <w:lang w:val="en-GB"/>
              </w:rPr>
              <w:t xml:space="preserve"> b</w:t>
            </w:r>
            <w:r w:rsidRPr="00EB390F">
              <w:rPr>
                <w:rFonts w:cs="Arial"/>
                <w:position w:val="3"/>
                <w:lang w:val="en-GB"/>
              </w:rPr>
              <w:t xml:space="preserve">e released before </w:t>
            </w:r>
          </w:p>
        </w:tc>
        <w:tc>
          <w:tcPr>
            <w:tcW w:w="159" w:type="dxa"/>
          </w:tcPr>
          <w:p w14:paraId="06F173D7" w14:textId="77777777" w:rsidR="0060421E" w:rsidRPr="00EB390F" w:rsidRDefault="0060421E" w:rsidP="0060421E">
            <w:pPr>
              <w:rPr>
                <w:rFonts w:ascii="Arial" w:hAnsi="Arial" w:cs="Arial"/>
                <w:sz w:val="20"/>
                <w:szCs w:val="20"/>
                <w:lang w:val="en-GB"/>
              </w:rPr>
            </w:pPr>
          </w:p>
        </w:tc>
        <w:sdt>
          <w:sdtPr>
            <w:rPr>
              <w:rFonts w:cs="Arial"/>
            </w:rPr>
            <w:id w:val="2050412665"/>
            <w:placeholder>
              <w:docPart w:val="0641246E9D94437390A492D11EC08210"/>
            </w:placeholder>
            <w:date>
              <w:dateFormat w:val="d. MMMM yyyy"/>
              <w:lid w:val="de-CH"/>
              <w:storeMappedDataAs w:val="dateTime"/>
              <w:calendar w:val="gregorian"/>
            </w:date>
          </w:sdtPr>
          <w:sdtEndPr/>
          <w:sdtContent>
            <w:tc>
              <w:tcPr>
                <w:tcW w:w="2703" w:type="dxa"/>
                <w:vAlign w:val="bottom"/>
              </w:tcPr>
              <w:p w14:paraId="77F5C34A" w14:textId="77777777" w:rsidR="0060421E" w:rsidRPr="00632047" w:rsidRDefault="00EB390F" w:rsidP="00EB390F">
                <w:pPr>
                  <w:pStyle w:val="TextinTabelle"/>
                  <w:rPr>
                    <w:rFonts w:cs="Arial"/>
                  </w:rPr>
                </w:pPr>
                <w:r>
                  <w:rPr>
                    <w:rFonts w:cs="Arial"/>
                  </w:rPr>
                  <w:t>/</w:t>
                </w:r>
              </w:p>
            </w:tc>
          </w:sdtContent>
        </w:sdt>
      </w:tr>
      <w:tr w:rsidR="00EB390F" w:rsidRPr="00632047" w14:paraId="259E4D49" w14:textId="77777777" w:rsidTr="00EB390F">
        <w:trPr>
          <w:trHeight w:val="266"/>
        </w:trPr>
        <w:tc>
          <w:tcPr>
            <w:tcW w:w="1418" w:type="dxa"/>
            <w:vAlign w:val="bottom"/>
          </w:tcPr>
          <w:p w14:paraId="2017028F" w14:textId="77777777" w:rsidR="00EB390F" w:rsidRPr="00EB390F" w:rsidRDefault="00EB390F" w:rsidP="0060421E">
            <w:pPr>
              <w:pStyle w:val="TitelinTabelle"/>
              <w:framePr w:hSpace="0" w:wrap="auto" w:vAnchor="margin" w:hAnchor="text" w:xAlign="left" w:yAlign="inline"/>
              <w:rPr>
                <w:rFonts w:cs="Arial"/>
                <w:position w:val="3"/>
                <w:lang w:val="en-GB"/>
              </w:rPr>
            </w:pPr>
          </w:p>
        </w:tc>
        <w:tc>
          <w:tcPr>
            <w:tcW w:w="159" w:type="dxa"/>
          </w:tcPr>
          <w:p w14:paraId="2DC9DD99" w14:textId="77777777" w:rsidR="00EB390F" w:rsidRPr="00EB390F" w:rsidRDefault="00EB390F" w:rsidP="0060421E">
            <w:pPr>
              <w:rPr>
                <w:rFonts w:ascii="Arial" w:hAnsi="Arial" w:cs="Arial"/>
                <w:sz w:val="20"/>
                <w:szCs w:val="20"/>
                <w:lang w:val="en-GB"/>
              </w:rPr>
            </w:pPr>
          </w:p>
        </w:tc>
        <w:tc>
          <w:tcPr>
            <w:tcW w:w="2703" w:type="dxa"/>
            <w:vAlign w:val="bottom"/>
          </w:tcPr>
          <w:p w14:paraId="34471285" w14:textId="77777777" w:rsidR="00EB390F" w:rsidRPr="00632047" w:rsidRDefault="00EB390F" w:rsidP="0060421E">
            <w:pPr>
              <w:pStyle w:val="TextinTabelle"/>
              <w:rPr>
                <w:rFonts w:cs="Arial"/>
              </w:rPr>
            </w:pPr>
          </w:p>
        </w:tc>
      </w:tr>
      <w:tr w:rsidR="0060421E" w:rsidRPr="00632047" w14:paraId="73CCCA5E" w14:textId="77777777" w:rsidTr="00EB390F">
        <w:trPr>
          <w:trHeight w:val="266"/>
        </w:trPr>
        <w:tc>
          <w:tcPr>
            <w:tcW w:w="1418" w:type="dxa"/>
          </w:tcPr>
          <w:p w14:paraId="4507C29C" w14:textId="77777777" w:rsidR="0060421E" w:rsidRPr="00632047" w:rsidRDefault="0060421E" w:rsidP="0060421E">
            <w:pPr>
              <w:pStyle w:val="TitelinTabelle"/>
              <w:framePr w:hSpace="0" w:wrap="auto" w:vAnchor="margin" w:hAnchor="text" w:xAlign="left" w:yAlign="inline"/>
              <w:rPr>
                <w:rFonts w:cs="Arial"/>
              </w:rPr>
            </w:pPr>
          </w:p>
        </w:tc>
        <w:tc>
          <w:tcPr>
            <w:tcW w:w="159" w:type="dxa"/>
          </w:tcPr>
          <w:p w14:paraId="55C1B363" w14:textId="77777777" w:rsidR="0060421E" w:rsidRPr="00632047" w:rsidRDefault="0060421E" w:rsidP="0060421E">
            <w:pPr>
              <w:rPr>
                <w:rFonts w:ascii="Arial" w:hAnsi="Arial" w:cs="Arial"/>
                <w:sz w:val="20"/>
                <w:szCs w:val="20"/>
              </w:rPr>
            </w:pPr>
          </w:p>
        </w:tc>
        <w:tc>
          <w:tcPr>
            <w:tcW w:w="2703" w:type="dxa"/>
            <w:vAlign w:val="bottom"/>
          </w:tcPr>
          <w:p w14:paraId="030BB935" w14:textId="77777777" w:rsidR="0060421E" w:rsidRPr="00632047" w:rsidRDefault="0060421E" w:rsidP="0060421E">
            <w:pPr>
              <w:pStyle w:val="TextinTabelle"/>
              <w:rPr>
                <w:rFonts w:cs="Arial"/>
              </w:rPr>
            </w:pPr>
          </w:p>
        </w:tc>
      </w:tr>
      <w:tr w:rsidR="0060421E" w:rsidRPr="00632047" w14:paraId="22B0D328" w14:textId="77777777" w:rsidTr="00EB390F">
        <w:trPr>
          <w:trHeight w:val="266"/>
        </w:trPr>
        <w:tc>
          <w:tcPr>
            <w:tcW w:w="1418" w:type="dxa"/>
            <w:vAlign w:val="bottom"/>
          </w:tcPr>
          <w:p w14:paraId="127C671F" w14:textId="77777777" w:rsidR="0060421E" w:rsidRPr="00632047" w:rsidRDefault="00EB390F" w:rsidP="0060421E">
            <w:pPr>
              <w:pStyle w:val="TitelinTabelle"/>
              <w:framePr w:hSpace="0" w:wrap="auto" w:vAnchor="margin" w:hAnchor="text" w:xAlign="left" w:yAlign="inline"/>
              <w:rPr>
                <w:rFonts w:cs="Arial"/>
                <w:position w:val="3"/>
              </w:rPr>
            </w:pPr>
            <w:r>
              <w:rPr>
                <w:rFonts w:cs="Arial"/>
                <w:position w:val="3"/>
              </w:rPr>
              <w:t>DOCUMENT</w:t>
            </w:r>
          </w:p>
        </w:tc>
        <w:tc>
          <w:tcPr>
            <w:tcW w:w="159" w:type="dxa"/>
          </w:tcPr>
          <w:p w14:paraId="498CDB1D" w14:textId="77777777" w:rsidR="0060421E" w:rsidRPr="00632047" w:rsidRDefault="0060421E" w:rsidP="0060421E">
            <w:pPr>
              <w:rPr>
                <w:rFonts w:ascii="Arial" w:hAnsi="Arial" w:cs="Arial"/>
                <w:sz w:val="20"/>
                <w:szCs w:val="20"/>
              </w:rPr>
            </w:pPr>
          </w:p>
        </w:tc>
        <w:sdt>
          <w:sdtPr>
            <w:rPr>
              <w:rFonts w:cs="Arial"/>
            </w:rPr>
            <w:id w:val="265278747"/>
            <w:placeholder>
              <w:docPart w:val="DDA89B99798A4D77BC0C3D9D43FB5B17"/>
            </w:placeholder>
          </w:sdtPr>
          <w:sdtEndPr/>
          <w:sdtContent>
            <w:tc>
              <w:tcPr>
                <w:tcW w:w="2703" w:type="dxa"/>
                <w:vAlign w:val="bottom"/>
              </w:tcPr>
              <w:p w14:paraId="3BBED2FC" w14:textId="27F176A2" w:rsidR="0060421E" w:rsidRPr="00632047" w:rsidRDefault="0010328B" w:rsidP="0060421E">
                <w:pPr>
                  <w:pStyle w:val="TextinTabelle"/>
                  <w:rPr>
                    <w:rFonts w:cs="Arial"/>
                  </w:rPr>
                </w:pPr>
                <w:r>
                  <w:rPr>
                    <w:rFonts w:cs="Arial"/>
                  </w:rPr>
                  <w:t>2 pages</w:t>
                </w:r>
              </w:p>
            </w:tc>
          </w:sdtContent>
        </w:sdt>
      </w:tr>
      <w:tr w:rsidR="0060421E" w:rsidRPr="00632047" w14:paraId="0819C5D8" w14:textId="77777777" w:rsidTr="00EB390F">
        <w:trPr>
          <w:trHeight w:val="266"/>
        </w:trPr>
        <w:tc>
          <w:tcPr>
            <w:tcW w:w="1418" w:type="dxa"/>
            <w:vAlign w:val="bottom"/>
          </w:tcPr>
          <w:p w14:paraId="74A1758D" w14:textId="77777777" w:rsidR="0060421E" w:rsidRPr="00632047" w:rsidRDefault="00EB390F" w:rsidP="0060421E">
            <w:pPr>
              <w:pStyle w:val="TitelinTabelle"/>
              <w:framePr w:hSpace="0" w:wrap="auto" w:vAnchor="margin" w:hAnchor="text" w:xAlign="left" w:yAlign="inline"/>
              <w:rPr>
                <w:rFonts w:cs="Arial"/>
                <w:position w:val="3"/>
              </w:rPr>
            </w:pPr>
            <w:r>
              <w:rPr>
                <w:rFonts w:cs="Arial"/>
                <w:position w:val="3"/>
              </w:rPr>
              <w:t>Attachments</w:t>
            </w:r>
          </w:p>
        </w:tc>
        <w:tc>
          <w:tcPr>
            <w:tcW w:w="159" w:type="dxa"/>
          </w:tcPr>
          <w:p w14:paraId="7127A21F" w14:textId="77777777" w:rsidR="0060421E" w:rsidRPr="00632047" w:rsidRDefault="0060421E" w:rsidP="0060421E">
            <w:pPr>
              <w:rPr>
                <w:rFonts w:ascii="Arial" w:hAnsi="Arial" w:cs="Arial"/>
                <w:sz w:val="20"/>
                <w:szCs w:val="20"/>
              </w:rPr>
            </w:pPr>
          </w:p>
        </w:tc>
        <w:sdt>
          <w:sdtPr>
            <w:rPr>
              <w:rFonts w:cs="Arial"/>
            </w:rPr>
            <w:id w:val="1614553760"/>
            <w:placeholder>
              <w:docPart w:val="4F4DEFCC09F14113A39204AB4C9C97A8"/>
            </w:placeholder>
          </w:sdtPr>
          <w:sdtEndPr/>
          <w:sdtContent>
            <w:tc>
              <w:tcPr>
                <w:tcW w:w="2703" w:type="dxa"/>
                <w:vAlign w:val="bottom"/>
              </w:tcPr>
              <w:p w14:paraId="188381DD" w14:textId="64CC9D75" w:rsidR="0060421E" w:rsidRPr="00632047" w:rsidRDefault="0010328B" w:rsidP="0060421E">
                <w:pPr>
                  <w:pStyle w:val="TextinTabelle"/>
                  <w:rPr>
                    <w:rFonts w:cs="Arial"/>
                  </w:rPr>
                </w:pPr>
                <w:r>
                  <w:rPr>
                    <w:rFonts w:cs="Arial"/>
                  </w:rPr>
                  <w:t>2 photos</w:t>
                </w:r>
              </w:p>
            </w:tc>
          </w:sdtContent>
        </w:sdt>
      </w:tr>
    </w:tbl>
    <w:p w14:paraId="5FC798AD" w14:textId="77777777" w:rsidR="00D440D0" w:rsidRPr="00632047" w:rsidRDefault="00D440D0">
      <w:pPr>
        <w:rPr>
          <w:rFonts w:ascii="Arial" w:hAnsi="Arial" w:cs="Arial"/>
        </w:rPr>
      </w:pPr>
    </w:p>
    <w:p w14:paraId="0739214F" w14:textId="77777777" w:rsidR="00F7192F" w:rsidRPr="00632047" w:rsidRDefault="00F7192F" w:rsidP="00F7192F">
      <w:pPr>
        <w:rPr>
          <w:rFonts w:ascii="Arial" w:hAnsi="Arial" w:cs="Arial"/>
          <w:b/>
          <w:sz w:val="24"/>
          <w:szCs w:val="24"/>
        </w:rPr>
      </w:pPr>
    </w:p>
    <w:p w14:paraId="35BF7BDD" w14:textId="77777777" w:rsidR="00F7192F" w:rsidRPr="00632047" w:rsidRDefault="00F7192F" w:rsidP="00F7192F">
      <w:pPr>
        <w:rPr>
          <w:rFonts w:ascii="Arial" w:hAnsi="Arial" w:cs="Arial"/>
          <w:b/>
          <w:sz w:val="24"/>
          <w:szCs w:val="24"/>
        </w:rPr>
      </w:pPr>
    </w:p>
    <w:p w14:paraId="0DFF8E8D" w14:textId="77777777" w:rsidR="00F7192F" w:rsidRPr="00632047" w:rsidRDefault="00F7192F">
      <w:pPr>
        <w:rPr>
          <w:rFonts w:ascii="Arial" w:hAnsi="Arial" w:cs="Arial"/>
        </w:rPr>
      </w:pPr>
    </w:p>
    <w:p w14:paraId="200C72B8" w14:textId="77777777" w:rsidR="00F7192F" w:rsidRPr="00632047" w:rsidRDefault="00F7192F">
      <w:pPr>
        <w:rPr>
          <w:rFonts w:ascii="Arial" w:hAnsi="Arial" w:cs="Arial"/>
        </w:rPr>
      </w:pPr>
    </w:p>
    <w:p w14:paraId="1899B8DD" w14:textId="00B22102" w:rsidR="00A121A5" w:rsidRPr="00EC0CE7" w:rsidRDefault="00A121A5" w:rsidP="00A121A5">
      <w:pPr>
        <w:rPr>
          <w:rFonts w:ascii="Arial" w:hAnsi="Arial" w:cs="Arial"/>
        </w:rPr>
      </w:pPr>
      <w:r w:rsidRPr="00EC0CE7">
        <w:rPr>
          <w:rFonts w:ascii="Arial" w:hAnsi="Arial" w:cs="Arial"/>
        </w:rPr>
        <w:t xml:space="preserve">Cologne, </w:t>
      </w:r>
      <w:r w:rsidR="0010328B">
        <w:rPr>
          <w:rFonts w:ascii="Arial" w:hAnsi="Arial" w:cs="Arial"/>
        </w:rPr>
        <w:t>28</w:t>
      </w:r>
      <w:r w:rsidRPr="00EC0CE7">
        <w:rPr>
          <w:rFonts w:ascii="Arial" w:hAnsi="Arial" w:cs="Arial"/>
        </w:rPr>
        <w:t xml:space="preserve"> </w:t>
      </w:r>
      <w:r w:rsidR="00585EFB">
        <w:rPr>
          <w:rFonts w:ascii="Arial" w:hAnsi="Arial" w:cs="Arial"/>
        </w:rPr>
        <w:t>July</w:t>
      </w:r>
      <w:r w:rsidRPr="00EC0CE7">
        <w:rPr>
          <w:rFonts w:ascii="Arial" w:hAnsi="Arial" w:cs="Arial"/>
        </w:rPr>
        <w:t xml:space="preserve"> 20</w:t>
      </w:r>
      <w:r w:rsidR="00B419B3">
        <w:rPr>
          <w:rFonts w:ascii="Arial" w:hAnsi="Arial" w:cs="Arial"/>
        </w:rPr>
        <w:t>20</w:t>
      </w:r>
    </w:p>
    <w:p w14:paraId="5C55BCB7" w14:textId="77777777" w:rsidR="00A121A5" w:rsidRPr="00EC0CE7" w:rsidRDefault="00A121A5" w:rsidP="00A121A5">
      <w:pPr>
        <w:rPr>
          <w:rFonts w:ascii="Arial" w:hAnsi="Arial" w:cs="Arial"/>
        </w:rPr>
      </w:pPr>
    </w:p>
    <w:p w14:paraId="44457084" w14:textId="71238197" w:rsidR="009F29AD" w:rsidRDefault="009F29AD" w:rsidP="005C3F1A">
      <w:pPr>
        <w:pStyle w:val="Grundtext"/>
        <w:rPr>
          <w:b/>
          <w:sz w:val="22"/>
          <w:szCs w:val="22"/>
          <w:lang w:val="en-GB"/>
        </w:rPr>
      </w:pPr>
    </w:p>
    <w:p w14:paraId="1E1A5081" w14:textId="77777777" w:rsidR="0010328B" w:rsidRPr="008C6A31" w:rsidRDefault="0010328B" w:rsidP="0010328B">
      <w:pPr>
        <w:pStyle w:val="Grundtext"/>
        <w:rPr>
          <w:b/>
          <w:sz w:val="24"/>
          <w:szCs w:val="24"/>
          <w:lang w:val="en-GB"/>
        </w:rPr>
      </w:pPr>
      <w:r w:rsidRPr="008C6A31">
        <w:rPr>
          <w:b/>
          <w:sz w:val="24"/>
          <w:szCs w:val="24"/>
          <w:lang w:val="en-GB"/>
        </w:rPr>
        <w:t>Fleet expanded by 31 Coradia Lint 54 trains</w:t>
      </w:r>
    </w:p>
    <w:p w14:paraId="728F2C6B" w14:textId="77777777" w:rsidR="0010328B" w:rsidRPr="008C6A31" w:rsidRDefault="0010328B" w:rsidP="0010328B">
      <w:pPr>
        <w:pStyle w:val="Grundtext"/>
        <w:rPr>
          <w:b/>
          <w:sz w:val="24"/>
          <w:szCs w:val="24"/>
          <w:lang w:val="en-GB"/>
        </w:rPr>
      </w:pPr>
    </w:p>
    <w:p w14:paraId="79A7F09D" w14:textId="77777777" w:rsidR="0010328B" w:rsidRPr="008C6A31" w:rsidRDefault="0010328B" w:rsidP="0010328B">
      <w:pPr>
        <w:pStyle w:val="Bodytext"/>
        <w:rPr>
          <w:b/>
          <w:bCs/>
          <w:sz w:val="36"/>
          <w:szCs w:val="36"/>
          <w:lang w:val="en-GB"/>
        </w:rPr>
      </w:pPr>
      <w:r w:rsidRPr="008C6A31">
        <w:rPr>
          <w:b/>
          <w:sz w:val="36"/>
          <w:szCs w:val="36"/>
          <w:lang w:val="en-GB"/>
        </w:rPr>
        <w:t xml:space="preserve">Alpha Trains acquires multiple units for </w:t>
      </w:r>
      <w:r w:rsidRPr="008C6A31">
        <w:rPr>
          <w:b/>
          <w:bCs/>
          <w:sz w:val="36"/>
          <w:szCs w:val="36"/>
          <w:lang w:val="en-GB"/>
        </w:rPr>
        <w:t xml:space="preserve">Oberland </w:t>
      </w:r>
      <w:r w:rsidRPr="008C6A31">
        <w:rPr>
          <w:b/>
          <w:sz w:val="36"/>
          <w:szCs w:val="36"/>
          <w:lang w:val="en-GB"/>
        </w:rPr>
        <w:t xml:space="preserve">network </w:t>
      </w:r>
      <w:r w:rsidRPr="008C6A31">
        <w:rPr>
          <w:b/>
          <w:bCs/>
          <w:sz w:val="36"/>
          <w:szCs w:val="36"/>
          <w:lang w:val="en-GB"/>
        </w:rPr>
        <w:t xml:space="preserve">in Bavaria </w:t>
      </w:r>
    </w:p>
    <w:p w14:paraId="3AC6BF08" w14:textId="77777777" w:rsidR="0010328B" w:rsidRPr="008C6A31" w:rsidRDefault="0010328B" w:rsidP="0010328B">
      <w:pPr>
        <w:pStyle w:val="Grundtext"/>
        <w:rPr>
          <w:lang w:val="en-GB"/>
        </w:rPr>
      </w:pPr>
    </w:p>
    <w:p w14:paraId="759B6374" w14:textId="77777777" w:rsidR="0010328B" w:rsidRPr="008C6A31" w:rsidRDefault="0010328B" w:rsidP="0010328B">
      <w:pPr>
        <w:pStyle w:val="Bodytext"/>
        <w:numPr>
          <w:ilvl w:val="0"/>
          <w:numId w:val="4"/>
        </w:numPr>
        <w:ind w:left="720"/>
        <w:rPr>
          <w:rFonts w:cs="Arial"/>
          <w:lang w:val="en-GB"/>
        </w:rPr>
      </w:pPr>
      <w:r w:rsidRPr="008C6A31">
        <w:rPr>
          <w:rFonts w:cs="Arial"/>
          <w:lang w:val="en-GB"/>
        </w:rPr>
        <w:t xml:space="preserve">Sale and </w:t>
      </w:r>
      <w:r w:rsidRPr="00435284">
        <w:rPr>
          <w:rFonts w:cs="Arial"/>
          <w:lang w:val="en-GB"/>
        </w:rPr>
        <w:t>lease-back and</w:t>
      </w:r>
      <w:r w:rsidRPr="008C6A31">
        <w:rPr>
          <w:rFonts w:cs="Arial"/>
          <w:lang w:val="en-GB"/>
        </w:rPr>
        <w:t xml:space="preserve"> new build transaction</w:t>
      </w:r>
    </w:p>
    <w:p w14:paraId="65435944" w14:textId="77777777" w:rsidR="0010328B" w:rsidRPr="008C6A31" w:rsidRDefault="0010328B" w:rsidP="0010328B">
      <w:pPr>
        <w:pStyle w:val="Bodytext"/>
        <w:numPr>
          <w:ilvl w:val="0"/>
          <w:numId w:val="4"/>
        </w:numPr>
        <w:ind w:left="720"/>
        <w:rPr>
          <w:rFonts w:cs="Arial"/>
          <w:lang w:val="en-GB"/>
        </w:rPr>
      </w:pPr>
      <w:r w:rsidRPr="008C6A31">
        <w:rPr>
          <w:rFonts w:cs="Arial"/>
          <w:lang w:val="en-GB"/>
        </w:rPr>
        <w:t>State-of-the-art diesel multiple units with far lower emissions</w:t>
      </w:r>
    </w:p>
    <w:p w14:paraId="63C476EB" w14:textId="77777777" w:rsidR="0010328B" w:rsidRPr="008C6A31" w:rsidRDefault="0010328B" w:rsidP="0010328B">
      <w:pPr>
        <w:pStyle w:val="Bodytext"/>
        <w:numPr>
          <w:ilvl w:val="0"/>
          <w:numId w:val="4"/>
        </w:numPr>
        <w:ind w:left="720"/>
        <w:rPr>
          <w:rFonts w:cs="Arial"/>
          <w:lang w:val="en-GB"/>
        </w:rPr>
      </w:pPr>
      <w:r w:rsidRPr="008C6A31">
        <w:rPr>
          <w:rFonts w:cs="Arial"/>
          <w:lang w:val="en-GB"/>
        </w:rPr>
        <w:t>Long-term leasing contracts with Transdev subsidiary</w:t>
      </w:r>
    </w:p>
    <w:p w14:paraId="031300D3" w14:textId="77777777" w:rsidR="0010328B" w:rsidRPr="008C6A31" w:rsidRDefault="0010328B" w:rsidP="0010328B">
      <w:pPr>
        <w:pStyle w:val="Bodytext"/>
        <w:ind w:left="720"/>
        <w:rPr>
          <w:rFonts w:cs="Arial"/>
          <w:lang w:val="en-GB"/>
        </w:rPr>
      </w:pPr>
    </w:p>
    <w:p w14:paraId="0B133DE7" w14:textId="77777777" w:rsidR="0010328B" w:rsidRPr="008C6A31" w:rsidRDefault="0010328B" w:rsidP="0010328B">
      <w:pPr>
        <w:pStyle w:val="Bodytext"/>
        <w:rPr>
          <w:bCs/>
          <w:szCs w:val="22"/>
          <w:lang w:val="en-GB"/>
        </w:rPr>
      </w:pPr>
      <w:r w:rsidRPr="008C6A31">
        <w:rPr>
          <w:bCs/>
          <w:szCs w:val="22"/>
          <w:lang w:val="en-GB"/>
        </w:rPr>
        <w:t>Alpha Trains, Continental Europe</w:t>
      </w:r>
      <w:r>
        <w:rPr>
          <w:bCs/>
          <w:szCs w:val="22"/>
          <w:lang w:val="en-GB"/>
        </w:rPr>
        <w:t>’</w:t>
      </w:r>
      <w:r w:rsidRPr="008C6A31">
        <w:rPr>
          <w:bCs/>
          <w:szCs w:val="22"/>
          <w:lang w:val="en-GB"/>
        </w:rPr>
        <w:t xml:space="preserve">s largest lessor of trains and locomotives, has expanded its fleet </w:t>
      </w:r>
      <w:r w:rsidRPr="008C6A31">
        <w:rPr>
          <w:rFonts w:cs="Arial"/>
          <w:lang w:val="en-GB"/>
        </w:rPr>
        <w:t>portfolio</w:t>
      </w:r>
      <w:r w:rsidRPr="008C6A31">
        <w:rPr>
          <w:bCs/>
          <w:szCs w:val="22"/>
          <w:lang w:val="en-GB"/>
        </w:rPr>
        <w:t xml:space="preserve"> to include a total of 31 modern multiple units of the Coradia Lint 54 type manufactured by Alstom. In a so-called </w:t>
      </w:r>
      <w:r>
        <w:rPr>
          <w:bCs/>
          <w:szCs w:val="22"/>
          <w:lang w:val="en-GB"/>
        </w:rPr>
        <w:t>“</w:t>
      </w:r>
      <w:r w:rsidRPr="008C6A31">
        <w:rPr>
          <w:bCs/>
          <w:szCs w:val="22"/>
          <w:lang w:val="en-GB"/>
        </w:rPr>
        <w:t>sale and lease-back</w:t>
      </w:r>
      <w:r>
        <w:rPr>
          <w:bCs/>
          <w:szCs w:val="22"/>
          <w:lang w:val="en-GB"/>
        </w:rPr>
        <w:t>”</w:t>
      </w:r>
      <w:r w:rsidRPr="008C6A31">
        <w:rPr>
          <w:bCs/>
          <w:szCs w:val="22"/>
          <w:lang w:val="en-GB"/>
        </w:rPr>
        <w:t xml:space="preserve"> transaction, Transdev sold 22 new trains, which it recently delivered to Alpha Trains, and leased the vehicles back in a long-term lease agreement. Alpha Trains has agreed to acquire a further nine identical multiple units directly from the manufacturer Alstom as new trains. </w:t>
      </w:r>
    </w:p>
    <w:p w14:paraId="7C3A7094" w14:textId="77777777" w:rsidR="0010328B" w:rsidRPr="008C6A31" w:rsidRDefault="0010328B" w:rsidP="0010328B">
      <w:pPr>
        <w:pStyle w:val="Grundtext"/>
        <w:rPr>
          <w:bCs/>
          <w:sz w:val="22"/>
          <w:szCs w:val="22"/>
          <w:lang w:val="en-GB"/>
        </w:rPr>
      </w:pPr>
    </w:p>
    <w:p w14:paraId="68FDCE4C" w14:textId="77777777" w:rsidR="0010328B" w:rsidRPr="008C6A31" w:rsidRDefault="0010328B" w:rsidP="0010328B">
      <w:pPr>
        <w:pStyle w:val="Bodytext"/>
        <w:rPr>
          <w:bCs/>
          <w:szCs w:val="22"/>
          <w:lang w:val="en-GB"/>
        </w:rPr>
      </w:pPr>
      <w:r w:rsidRPr="008C6A31">
        <w:rPr>
          <w:bCs/>
          <w:szCs w:val="22"/>
          <w:lang w:val="en-GB"/>
        </w:rPr>
        <w:t xml:space="preserve">The lessee of the total of 31 multiple units is Bayerische Oberlandbahn GmbH, a wholly owned subsidiary of the Transdev Group. The vehicles will be successively put into service under the new BRB (Bayerische Regiobahn) umbrella brand. The first trains have been in operation in the “Oberland” network since June 2020. All of these vehicles should be operating by the end of the year. Notably, the vehicles will be replaced </w:t>
      </w:r>
      <w:r w:rsidRPr="008C6A31">
        <w:rPr>
          <w:bCs/>
          <w:szCs w:val="22"/>
          <w:u w:val="single"/>
          <w:lang w:val="en-GB"/>
        </w:rPr>
        <w:t>during</w:t>
      </w:r>
      <w:r w:rsidRPr="008C6A31">
        <w:rPr>
          <w:bCs/>
          <w:szCs w:val="22"/>
          <w:lang w:val="en-GB"/>
        </w:rPr>
        <w:t xml:space="preserve"> the current transport concession contract with the Bayerische Eisenbahngesellschaft (BEG), which plans, finances and controls local rail passenger transport in the Free State of Bavaria: the existing fleet will be replaced by 25 new LINT vehicles at the expense of the Transdev Group, while the Free State will enable capacity and supply to be expanded with six additional new vehicles.</w:t>
      </w:r>
    </w:p>
    <w:p w14:paraId="6BE023EE" w14:textId="77777777" w:rsidR="0010328B" w:rsidRPr="008C6A31" w:rsidRDefault="0010328B" w:rsidP="0010328B">
      <w:pPr>
        <w:pStyle w:val="Bodytext"/>
        <w:rPr>
          <w:bCs/>
          <w:szCs w:val="22"/>
          <w:lang w:val="en-GB"/>
        </w:rPr>
      </w:pPr>
    </w:p>
    <w:p w14:paraId="10CF5800" w14:textId="77777777" w:rsidR="0010328B" w:rsidRPr="008C6A31" w:rsidRDefault="0010328B" w:rsidP="0010328B">
      <w:pPr>
        <w:pStyle w:val="Bodytext"/>
        <w:rPr>
          <w:bCs/>
          <w:lang w:val="en-GB"/>
        </w:rPr>
      </w:pPr>
      <w:r w:rsidRPr="008C6A31">
        <w:rPr>
          <w:bCs/>
          <w:szCs w:val="22"/>
          <w:lang w:val="en-GB"/>
        </w:rPr>
        <w:t xml:space="preserve">The vehicles used up to now, including Bombardier Talent multiple-unit trains, will go back to the owner Alpha Trains for further leasing. </w:t>
      </w:r>
    </w:p>
    <w:p w14:paraId="7D6FB942" w14:textId="77777777" w:rsidR="0010328B" w:rsidRPr="008C6A31" w:rsidRDefault="0010328B" w:rsidP="0010328B">
      <w:pPr>
        <w:pStyle w:val="Bodytext"/>
        <w:rPr>
          <w:bCs/>
          <w:szCs w:val="22"/>
          <w:lang w:val="en-GB"/>
        </w:rPr>
      </w:pPr>
    </w:p>
    <w:p w14:paraId="42232132" w14:textId="77777777" w:rsidR="0010328B" w:rsidRPr="008C6A31" w:rsidRDefault="0010328B" w:rsidP="0010328B">
      <w:pPr>
        <w:pStyle w:val="Bodytext"/>
        <w:rPr>
          <w:bCs/>
          <w:szCs w:val="22"/>
          <w:lang w:val="en-GB"/>
        </w:rPr>
      </w:pPr>
      <w:r w:rsidRPr="008C6A31">
        <w:rPr>
          <w:bCs/>
          <w:szCs w:val="22"/>
          <w:lang w:val="en-GB"/>
        </w:rPr>
        <w:t xml:space="preserve">The capacity expansion and the use of more modern multiple units will improve the transport services in the Bavarian Oberland area in terms of reliability, punctuality and equipment. The 31 identical vehicles can be coupled together as required, thus enabling flexible deployment in line with fluctuating passenger volumes. </w:t>
      </w:r>
    </w:p>
    <w:p w14:paraId="58BD5DB2" w14:textId="77777777" w:rsidR="0010328B" w:rsidRPr="008C6A31" w:rsidRDefault="0010328B" w:rsidP="0010328B">
      <w:pPr>
        <w:pStyle w:val="Bodytext"/>
        <w:rPr>
          <w:bCs/>
          <w:szCs w:val="22"/>
          <w:lang w:val="en-GB"/>
        </w:rPr>
      </w:pPr>
    </w:p>
    <w:p w14:paraId="73C04A08" w14:textId="5F592066" w:rsidR="0010328B" w:rsidRPr="008C6A31" w:rsidRDefault="0010328B" w:rsidP="0010328B">
      <w:pPr>
        <w:pStyle w:val="Bodytext"/>
        <w:rPr>
          <w:bCs/>
          <w:szCs w:val="22"/>
          <w:lang w:val="en-GB"/>
        </w:rPr>
      </w:pPr>
      <w:r w:rsidRPr="008C6A31">
        <w:rPr>
          <w:bCs/>
          <w:szCs w:val="22"/>
          <w:lang w:val="en-GB"/>
        </w:rPr>
        <w:t xml:space="preserve">Shaun Mills, CEO of the Alpha Trains Group: </w:t>
      </w:r>
      <w:r>
        <w:rPr>
          <w:bCs/>
          <w:szCs w:val="22"/>
          <w:lang w:val="en-GB"/>
        </w:rPr>
        <w:t>“</w:t>
      </w:r>
      <w:r w:rsidRPr="008C6A31">
        <w:rPr>
          <w:bCs/>
          <w:szCs w:val="22"/>
          <w:lang w:val="en-GB"/>
        </w:rPr>
        <w:t xml:space="preserve">We are delighted to have found a convincing solution for improving rail transport in the Bavarian Oberland </w:t>
      </w:r>
      <w:bookmarkStart w:id="0" w:name="_GoBack"/>
      <w:bookmarkEnd w:id="0"/>
      <w:r w:rsidRPr="008C6A31">
        <w:rPr>
          <w:bCs/>
          <w:szCs w:val="22"/>
          <w:lang w:val="en-GB"/>
        </w:rPr>
        <w:t>together with our long-standing partner Transdev. Once again it is clear that the flexibility of rolling stock leasing is the only way to implement future mobility concepts in times of rapid demographic and technological change.</w:t>
      </w:r>
      <w:r>
        <w:rPr>
          <w:bCs/>
          <w:szCs w:val="22"/>
          <w:lang w:val="en-GB"/>
        </w:rPr>
        <w:t>”</w:t>
      </w:r>
    </w:p>
    <w:p w14:paraId="32E502FA" w14:textId="77777777" w:rsidR="0010328B" w:rsidRPr="008C6A31" w:rsidRDefault="0010328B" w:rsidP="0010328B">
      <w:pPr>
        <w:pStyle w:val="Bodytext"/>
        <w:rPr>
          <w:bCs/>
          <w:szCs w:val="22"/>
          <w:lang w:val="en-GB"/>
        </w:rPr>
      </w:pPr>
    </w:p>
    <w:p w14:paraId="16B00438" w14:textId="77777777" w:rsidR="0010328B" w:rsidRPr="008C6A31" w:rsidRDefault="0010328B" w:rsidP="0010328B">
      <w:pPr>
        <w:pStyle w:val="Bodytext"/>
        <w:rPr>
          <w:bCs/>
          <w:szCs w:val="22"/>
          <w:lang w:val="en-GB"/>
        </w:rPr>
      </w:pPr>
      <w:r w:rsidRPr="008C6A31">
        <w:rPr>
          <w:bCs/>
          <w:szCs w:val="22"/>
          <w:lang w:val="en-GB"/>
        </w:rPr>
        <w:t>The new trains offer passengers free Wi-Fi and power sockets and are equipped with state-of-the-art passenger information and accessib</w:t>
      </w:r>
      <w:r>
        <w:rPr>
          <w:bCs/>
          <w:szCs w:val="22"/>
          <w:lang w:val="en-GB"/>
        </w:rPr>
        <w:t>le boarding systems</w:t>
      </w:r>
      <w:r w:rsidRPr="008C6A31">
        <w:rPr>
          <w:bCs/>
          <w:szCs w:val="22"/>
          <w:lang w:val="en-GB"/>
        </w:rPr>
        <w:t xml:space="preserve"> in accordance with the latest EU standard. In addition, despite their diesel engines, the low-emission, low-noise multiple units generate significantly lower emissions than previously, i.e. 90% less nitrogen oxide and almost no particulate matter. </w:t>
      </w:r>
    </w:p>
    <w:p w14:paraId="799E922F" w14:textId="77777777" w:rsidR="0010328B" w:rsidRPr="008C6A31" w:rsidRDefault="0010328B" w:rsidP="0010328B">
      <w:pPr>
        <w:pStyle w:val="Grundtext"/>
        <w:rPr>
          <w:b/>
          <w:sz w:val="22"/>
          <w:szCs w:val="22"/>
          <w:lang w:val="en-GB"/>
        </w:rPr>
      </w:pPr>
    </w:p>
    <w:p w14:paraId="43482F28" w14:textId="4345DA83" w:rsidR="009F29AD" w:rsidRDefault="009F29AD" w:rsidP="005C3F1A">
      <w:pPr>
        <w:pStyle w:val="Grundtext"/>
        <w:rPr>
          <w:b/>
          <w:sz w:val="22"/>
          <w:szCs w:val="22"/>
          <w:lang w:val="en-GB"/>
        </w:rPr>
      </w:pPr>
    </w:p>
    <w:p w14:paraId="69DCAA48" w14:textId="77777777" w:rsidR="009F29AD" w:rsidRDefault="009F29AD" w:rsidP="005C3F1A">
      <w:pPr>
        <w:pStyle w:val="Grundtext"/>
        <w:rPr>
          <w:b/>
          <w:sz w:val="22"/>
          <w:szCs w:val="22"/>
          <w:lang w:val="en-GB"/>
        </w:rPr>
      </w:pPr>
    </w:p>
    <w:p w14:paraId="6035AECA" w14:textId="269F31C7" w:rsidR="005C3F1A" w:rsidRPr="00B419B3" w:rsidRDefault="005C3F1A" w:rsidP="005C3F1A">
      <w:pPr>
        <w:pStyle w:val="Grundtext"/>
        <w:rPr>
          <w:b/>
          <w:sz w:val="22"/>
          <w:szCs w:val="22"/>
          <w:lang w:val="en-US"/>
        </w:rPr>
      </w:pPr>
      <w:r w:rsidRPr="00EC0CE7">
        <w:rPr>
          <w:b/>
          <w:sz w:val="22"/>
          <w:szCs w:val="22"/>
          <w:lang w:val="en-GB"/>
        </w:rPr>
        <w:t>About Alpha Trains</w:t>
      </w:r>
      <w:r w:rsidRPr="00EC0CE7">
        <w:rPr>
          <w:lang w:val="en"/>
        </w:rPr>
        <w:br/>
      </w:r>
      <w:r w:rsidRPr="00EC0CE7">
        <w:rPr>
          <w:i/>
          <w:sz w:val="22"/>
          <w:szCs w:val="22"/>
          <w:lang w:val="en-GB"/>
        </w:rPr>
        <w:t>Alpha Trains is the l</w:t>
      </w:r>
      <w:r w:rsidR="00E40C97" w:rsidRPr="00EC0CE7">
        <w:rPr>
          <w:i/>
          <w:sz w:val="22"/>
          <w:szCs w:val="22"/>
          <w:lang w:val="en-GB"/>
        </w:rPr>
        <w:t>eading rolling stock lessor in C</w:t>
      </w:r>
      <w:r w:rsidRPr="00EC0CE7">
        <w:rPr>
          <w:i/>
          <w:sz w:val="22"/>
          <w:szCs w:val="22"/>
          <w:lang w:val="en-GB"/>
        </w:rPr>
        <w:t xml:space="preserve">ontinental Europe. </w:t>
      </w:r>
      <w:r w:rsidR="00140715" w:rsidRPr="00EC0CE7">
        <w:rPr>
          <w:i/>
          <w:sz w:val="22"/>
          <w:szCs w:val="22"/>
          <w:lang w:val="en-GB"/>
        </w:rPr>
        <w:t>11</w:t>
      </w:r>
      <w:r w:rsidR="00D87402">
        <w:rPr>
          <w:i/>
          <w:sz w:val="22"/>
          <w:szCs w:val="22"/>
          <w:lang w:val="en-GB"/>
        </w:rPr>
        <w:t>5</w:t>
      </w:r>
      <w:r w:rsidRPr="00EC0CE7">
        <w:rPr>
          <w:i/>
          <w:sz w:val="22"/>
          <w:szCs w:val="22"/>
          <w:lang w:val="en-GB"/>
        </w:rPr>
        <w:t xml:space="preserve"> employees from 1</w:t>
      </w:r>
      <w:r w:rsidR="00505DFF">
        <w:rPr>
          <w:i/>
          <w:sz w:val="22"/>
          <w:szCs w:val="22"/>
          <w:lang w:val="en-GB"/>
        </w:rPr>
        <w:t>5</w:t>
      </w:r>
      <w:r w:rsidRPr="00EC0CE7">
        <w:rPr>
          <w:i/>
          <w:sz w:val="22"/>
          <w:szCs w:val="22"/>
          <w:lang w:val="en-GB"/>
        </w:rPr>
        <w:t xml:space="preserve"> countries work in offices in Luxembourg, Antwerp, Cologne</w:t>
      </w:r>
      <w:r w:rsidR="00783269" w:rsidRPr="00EC0CE7">
        <w:rPr>
          <w:i/>
          <w:sz w:val="22"/>
          <w:szCs w:val="22"/>
          <w:lang w:val="en-GB"/>
        </w:rPr>
        <w:t xml:space="preserve">, </w:t>
      </w:r>
      <w:r w:rsidRPr="00EC0CE7">
        <w:rPr>
          <w:i/>
          <w:sz w:val="22"/>
          <w:szCs w:val="22"/>
          <w:lang w:val="en-GB"/>
        </w:rPr>
        <w:t>Madrid</w:t>
      </w:r>
      <w:r w:rsidR="00783269" w:rsidRPr="00EC0CE7">
        <w:rPr>
          <w:i/>
          <w:sz w:val="22"/>
          <w:szCs w:val="22"/>
          <w:lang w:val="en-GB"/>
        </w:rPr>
        <w:t xml:space="preserve"> and Paris</w:t>
      </w:r>
      <w:r w:rsidRPr="00EC0CE7">
        <w:rPr>
          <w:i/>
          <w:sz w:val="22"/>
          <w:szCs w:val="22"/>
          <w:lang w:val="en-GB"/>
        </w:rPr>
        <w:t xml:space="preserve">. Alpha Trains owns </w:t>
      </w:r>
      <w:r w:rsidR="00D87402">
        <w:rPr>
          <w:i/>
          <w:sz w:val="22"/>
          <w:szCs w:val="22"/>
          <w:lang w:val="en-GB"/>
        </w:rPr>
        <w:t xml:space="preserve">around 800 locomotives and </w:t>
      </w:r>
      <w:r w:rsidRPr="00EC0CE7">
        <w:rPr>
          <w:i/>
          <w:sz w:val="22"/>
          <w:szCs w:val="22"/>
          <w:lang w:val="en-GB"/>
        </w:rPr>
        <w:t>passenger trains</w:t>
      </w:r>
      <w:r w:rsidR="00140715" w:rsidRPr="00EC0CE7">
        <w:rPr>
          <w:i/>
          <w:sz w:val="22"/>
          <w:szCs w:val="22"/>
          <w:lang w:val="en-GB"/>
        </w:rPr>
        <w:t xml:space="preserve"> </w:t>
      </w:r>
      <w:r w:rsidRPr="00EC0CE7">
        <w:rPr>
          <w:i/>
          <w:sz w:val="22"/>
          <w:szCs w:val="22"/>
          <w:lang w:val="en-GB"/>
        </w:rPr>
        <w:t>and offers tailor-made leasing solutions, comprehensive know-how in maintenance and vehicle repairs as well as long-term experience in the financing of new build projects. Alpha Trains' fleets are in use by many public and private operators in 1</w:t>
      </w:r>
      <w:r w:rsidR="00EC0CE7">
        <w:rPr>
          <w:i/>
          <w:sz w:val="22"/>
          <w:szCs w:val="22"/>
          <w:lang w:val="en-GB"/>
        </w:rPr>
        <w:t>7</w:t>
      </w:r>
      <w:r w:rsidRPr="00EC0CE7">
        <w:rPr>
          <w:i/>
          <w:sz w:val="22"/>
          <w:szCs w:val="22"/>
          <w:lang w:val="en-GB"/>
        </w:rPr>
        <w:t xml:space="preserve"> European countries. Alpha Trains' shareholders are </w:t>
      </w:r>
      <w:r w:rsidR="00B419B3" w:rsidRPr="00B419B3">
        <w:rPr>
          <w:i/>
          <w:sz w:val="22"/>
          <w:szCs w:val="22"/>
          <w:lang w:val="en-GB"/>
        </w:rPr>
        <w:t>Arcus European Trains, AMP Capital Investors and Infra-PSP</w:t>
      </w:r>
      <w:r w:rsidR="00B419B3">
        <w:rPr>
          <w:i/>
          <w:sz w:val="22"/>
          <w:szCs w:val="22"/>
          <w:lang w:val="en-GB"/>
        </w:rPr>
        <w:t>.</w:t>
      </w:r>
    </w:p>
    <w:p w14:paraId="067F7452" w14:textId="77777777" w:rsidR="005C3F1A" w:rsidRPr="00EC0CE7" w:rsidRDefault="005C3F1A" w:rsidP="005C3F1A">
      <w:pPr>
        <w:pStyle w:val="Grundtext"/>
        <w:rPr>
          <w:b/>
          <w:sz w:val="22"/>
          <w:szCs w:val="22"/>
          <w:lang w:val="en-GB"/>
        </w:rPr>
      </w:pPr>
    </w:p>
    <w:p w14:paraId="629E27B5" w14:textId="77777777" w:rsidR="005C3F1A" w:rsidRPr="00EC0CE7" w:rsidRDefault="005C3F1A" w:rsidP="005C3F1A">
      <w:pPr>
        <w:pStyle w:val="Grundtext"/>
        <w:rPr>
          <w:b/>
          <w:i/>
          <w:sz w:val="22"/>
          <w:szCs w:val="22"/>
          <w:lang w:val="en-GB"/>
        </w:rPr>
      </w:pPr>
      <w:r w:rsidRPr="00EC0CE7">
        <w:rPr>
          <w:b/>
          <w:sz w:val="22"/>
          <w:szCs w:val="22"/>
          <w:lang w:val="en-GB"/>
        </w:rPr>
        <w:t>Contact</w:t>
      </w:r>
    </w:p>
    <w:p w14:paraId="68663440" w14:textId="77777777" w:rsidR="00EC0CE7" w:rsidRPr="00AD4F6C" w:rsidRDefault="00EC0CE7" w:rsidP="00EC0CE7">
      <w:pPr>
        <w:pStyle w:val="GrundtextKursiv"/>
        <w:rPr>
          <w:i w:val="0"/>
          <w:lang w:val="en-US"/>
        </w:rPr>
      </w:pPr>
      <w:r w:rsidRPr="00FE0493">
        <w:rPr>
          <w:i w:val="0"/>
          <w:sz w:val="22"/>
          <w:szCs w:val="22"/>
          <w:lang w:val="en-GB"/>
        </w:rPr>
        <w:t>Alpha Trains Group</w:t>
      </w:r>
      <w:r w:rsidRPr="00FE0493">
        <w:rPr>
          <w:i w:val="0"/>
          <w:sz w:val="22"/>
          <w:szCs w:val="22"/>
          <w:lang w:val="en-GB"/>
        </w:rPr>
        <w:br/>
      </w:r>
      <w:r>
        <w:rPr>
          <w:i w:val="0"/>
          <w:sz w:val="22"/>
          <w:szCs w:val="22"/>
          <w:lang w:val="en-GB"/>
        </w:rPr>
        <w:t xml:space="preserve">Heike Zimmermann, </w:t>
      </w:r>
      <w:r w:rsidRPr="00FE0493">
        <w:rPr>
          <w:i w:val="0"/>
          <w:sz w:val="22"/>
          <w:szCs w:val="22"/>
          <w:lang w:val="en-GB"/>
        </w:rPr>
        <w:t xml:space="preserve">Group PR &amp; Marketing Manager </w:t>
      </w:r>
      <w:r>
        <w:rPr>
          <w:i w:val="0"/>
          <w:sz w:val="22"/>
          <w:szCs w:val="22"/>
          <w:lang w:val="en-GB"/>
        </w:rPr>
        <w:br/>
      </w:r>
    </w:p>
    <w:p w14:paraId="33EF71DD" w14:textId="77777777" w:rsidR="00EC0CE7" w:rsidRPr="00AD4F6C" w:rsidRDefault="00EC0CE7" w:rsidP="00EC0CE7">
      <w:pPr>
        <w:pStyle w:val="GrundtextKursiv"/>
        <w:rPr>
          <w:i w:val="0"/>
          <w:sz w:val="22"/>
          <w:szCs w:val="22"/>
          <w:lang w:val="fr-FR"/>
        </w:rPr>
      </w:pPr>
      <w:r w:rsidRPr="00AD4F6C">
        <w:rPr>
          <w:i w:val="0"/>
          <w:sz w:val="22"/>
          <w:szCs w:val="22"/>
          <w:lang w:val="fr-FR"/>
        </w:rPr>
        <w:t>Phone: +49 221 9140 9063</w:t>
      </w:r>
    </w:p>
    <w:p w14:paraId="03EFF35F" w14:textId="69F3DF65" w:rsidR="00EC0CE7" w:rsidRPr="0010328B" w:rsidRDefault="00EC0CE7" w:rsidP="00EC0CE7">
      <w:pPr>
        <w:pStyle w:val="GrundtextKursiv"/>
        <w:rPr>
          <w:i w:val="0"/>
          <w:sz w:val="22"/>
          <w:szCs w:val="22"/>
          <w:lang w:val="it-IT"/>
        </w:rPr>
      </w:pPr>
      <w:r w:rsidRPr="0010328B">
        <w:rPr>
          <w:i w:val="0"/>
          <w:sz w:val="22"/>
          <w:szCs w:val="22"/>
          <w:lang w:val="it-IT"/>
        </w:rPr>
        <w:t>E-</w:t>
      </w:r>
      <w:r w:rsidR="0010328B" w:rsidRPr="0010328B">
        <w:rPr>
          <w:i w:val="0"/>
          <w:sz w:val="22"/>
          <w:szCs w:val="22"/>
          <w:lang w:val="it-IT"/>
        </w:rPr>
        <w:t>m</w:t>
      </w:r>
      <w:r w:rsidRPr="0010328B">
        <w:rPr>
          <w:i w:val="0"/>
          <w:sz w:val="22"/>
          <w:szCs w:val="22"/>
          <w:lang w:val="it-IT"/>
        </w:rPr>
        <w:t>ail: heike.zimmermann@alphatrains.eu</w:t>
      </w:r>
    </w:p>
    <w:p w14:paraId="27582CF3" w14:textId="77777777" w:rsidR="00EC0CE7" w:rsidRPr="00FE0493" w:rsidRDefault="00FC3E31" w:rsidP="00EC0CE7">
      <w:pPr>
        <w:pStyle w:val="GrundtextKursiv"/>
        <w:rPr>
          <w:i w:val="0"/>
          <w:sz w:val="22"/>
          <w:szCs w:val="22"/>
          <w:lang w:val="en-GB"/>
        </w:rPr>
      </w:pPr>
      <w:hyperlink r:id="rId10" w:history="1">
        <w:r w:rsidR="00EC0CE7" w:rsidRPr="00FE0493">
          <w:rPr>
            <w:i w:val="0"/>
            <w:sz w:val="22"/>
            <w:szCs w:val="22"/>
            <w:lang w:val="en-GB"/>
          </w:rPr>
          <w:t>www.alphatrains.eu</w:t>
        </w:r>
      </w:hyperlink>
      <w:r w:rsidR="00EC0CE7" w:rsidRPr="00FE0493">
        <w:rPr>
          <w:i w:val="0"/>
          <w:sz w:val="22"/>
          <w:szCs w:val="22"/>
          <w:lang w:val="en-GB"/>
        </w:rPr>
        <w:br/>
      </w:r>
    </w:p>
    <w:p w14:paraId="7CC12AE9" w14:textId="77777777" w:rsidR="0082112D" w:rsidRPr="00632047" w:rsidRDefault="00FC3E31" w:rsidP="00EC0CE7">
      <w:pPr>
        <w:pStyle w:val="GrundtextKursiv"/>
      </w:pPr>
    </w:p>
    <w:sectPr w:rsidR="0082112D" w:rsidRPr="00632047" w:rsidSect="00F7192F">
      <w:headerReference w:type="default" r:id="rId11"/>
      <w:footerReference w:type="default" r:id="rId12"/>
      <w:pgSz w:w="11906" w:h="16838"/>
      <w:pgMar w:top="1417" w:right="1417" w:bottom="1134"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34F31" w14:textId="77777777" w:rsidR="00322B75" w:rsidRDefault="00322B75" w:rsidP="00D440D0">
      <w:pPr>
        <w:spacing w:after="0" w:line="240" w:lineRule="auto"/>
      </w:pPr>
      <w:r>
        <w:separator/>
      </w:r>
    </w:p>
  </w:endnote>
  <w:endnote w:type="continuationSeparator" w:id="0">
    <w:p w14:paraId="6D88742A" w14:textId="77777777" w:rsidR="00322B75" w:rsidRDefault="00322B75" w:rsidP="00D44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98381352"/>
      <w:docPartObj>
        <w:docPartGallery w:val="Page Numbers (Top of Page)"/>
        <w:docPartUnique/>
      </w:docPartObj>
    </w:sdtPr>
    <w:sdtEndPr/>
    <w:sdtContent>
      <w:p w14:paraId="493ECCA9" w14:textId="77777777" w:rsidR="00D440D0" w:rsidRPr="00F7192F" w:rsidRDefault="00D440D0" w:rsidP="00F7192F">
        <w:pPr>
          <w:jc w:val="right"/>
          <w:rPr>
            <w:rFonts w:ascii="Arial" w:hAnsi="Arial" w:cs="Arial"/>
            <w:sz w:val="24"/>
            <w:szCs w:val="24"/>
          </w:rPr>
        </w:pPr>
        <w:r w:rsidRPr="00F7192F">
          <w:rPr>
            <w:rFonts w:ascii="Arial" w:hAnsi="Arial" w:cs="Arial"/>
            <w:sz w:val="24"/>
            <w:szCs w:val="24"/>
          </w:rPr>
          <w:fldChar w:fldCharType="begin"/>
        </w:r>
        <w:r w:rsidRPr="00F7192F">
          <w:rPr>
            <w:rFonts w:ascii="Arial" w:hAnsi="Arial" w:cs="Arial"/>
          </w:rPr>
          <w:instrText>PAGE</w:instrText>
        </w:r>
        <w:r w:rsidRPr="00F7192F">
          <w:rPr>
            <w:rFonts w:ascii="Arial" w:hAnsi="Arial" w:cs="Arial"/>
            <w:sz w:val="24"/>
            <w:szCs w:val="24"/>
          </w:rPr>
          <w:fldChar w:fldCharType="separate"/>
        </w:r>
        <w:r w:rsidR="00EC0CE7">
          <w:rPr>
            <w:rFonts w:ascii="Arial" w:hAnsi="Arial" w:cs="Arial"/>
            <w:noProof/>
          </w:rPr>
          <w:t>1</w:t>
        </w:r>
        <w:r w:rsidRPr="00F7192F">
          <w:rPr>
            <w:rFonts w:ascii="Arial" w:hAnsi="Arial" w:cs="Arial"/>
            <w:sz w:val="24"/>
            <w:szCs w:val="24"/>
          </w:rPr>
          <w:fldChar w:fldCharType="end"/>
        </w:r>
        <w:r w:rsidRPr="00F7192F">
          <w:rPr>
            <w:rFonts w:ascii="Arial" w:hAnsi="Arial" w:cs="Arial"/>
          </w:rPr>
          <w:t xml:space="preserve"> / </w:t>
        </w:r>
        <w:r w:rsidRPr="00F7192F">
          <w:rPr>
            <w:rFonts w:ascii="Arial" w:hAnsi="Arial" w:cs="Arial"/>
            <w:sz w:val="24"/>
            <w:szCs w:val="24"/>
          </w:rPr>
          <w:fldChar w:fldCharType="begin"/>
        </w:r>
        <w:r w:rsidRPr="00F7192F">
          <w:rPr>
            <w:rFonts w:ascii="Arial" w:hAnsi="Arial" w:cs="Arial"/>
          </w:rPr>
          <w:instrText>NUMPAGES</w:instrText>
        </w:r>
        <w:r w:rsidRPr="00F7192F">
          <w:rPr>
            <w:rFonts w:ascii="Arial" w:hAnsi="Arial" w:cs="Arial"/>
            <w:sz w:val="24"/>
            <w:szCs w:val="24"/>
          </w:rPr>
          <w:fldChar w:fldCharType="separate"/>
        </w:r>
        <w:r w:rsidR="00EC0CE7">
          <w:rPr>
            <w:rFonts w:ascii="Arial" w:hAnsi="Arial" w:cs="Arial"/>
            <w:noProof/>
          </w:rPr>
          <w:t>1</w:t>
        </w:r>
        <w:r w:rsidRPr="00F7192F">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6B91B" w14:textId="77777777" w:rsidR="00322B75" w:rsidRDefault="00322B75" w:rsidP="00D440D0">
      <w:pPr>
        <w:spacing w:after="0" w:line="240" w:lineRule="auto"/>
      </w:pPr>
      <w:r>
        <w:separator/>
      </w:r>
    </w:p>
  </w:footnote>
  <w:footnote w:type="continuationSeparator" w:id="0">
    <w:p w14:paraId="5D1BB32F" w14:textId="77777777" w:rsidR="00322B75" w:rsidRDefault="00322B75" w:rsidP="00D44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251"/>
      <w:gridCol w:w="2411"/>
      <w:gridCol w:w="2972"/>
    </w:tblGrid>
    <w:tr w:rsidR="0060421E" w:rsidRPr="00EB390F" w14:paraId="2C1BA634" w14:textId="77777777" w:rsidTr="0060421E">
      <w:trPr>
        <w:trHeight w:val="551"/>
      </w:trPr>
      <w:tc>
        <w:tcPr>
          <w:tcW w:w="4251" w:type="dxa"/>
        </w:tcPr>
        <w:p w14:paraId="6BB4AA76" w14:textId="77777777" w:rsidR="0060421E" w:rsidRDefault="0060421E" w:rsidP="0060421E">
          <w:pPr>
            <w:rPr>
              <w:rFonts w:ascii="Arial" w:hAnsi="Arial" w:cs="Arial"/>
              <w:b/>
              <w:color w:val="808080" w:themeColor="background1" w:themeShade="80"/>
              <w:sz w:val="32"/>
              <w:szCs w:val="32"/>
            </w:rPr>
          </w:pPr>
          <w:r w:rsidRPr="00F7192F">
            <w:rPr>
              <w:noProof/>
              <w:sz w:val="32"/>
              <w:szCs w:val="32"/>
              <w:lang w:eastAsia="de-DE"/>
            </w:rPr>
            <w:drawing>
              <wp:anchor distT="0" distB="0" distL="114300" distR="114300" simplePos="0" relativeHeight="251658240" behindDoc="1" locked="0" layoutInCell="1" allowOverlap="1" wp14:anchorId="43CCD7C9" wp14:editId="247F15F5">
                <wp:simplePos x="0" y="0"/>
                <wp:positionH relativeFrom="column">
                  <wp:posOffset>-64937</wp:posOffset>
                </wp:positionH>
                <wp:positionV relativeFrom="paragraph">
                  <wp:posOffset>0</wp:posOffset>
                </wp:positionV>
                <wp:extent cx="2199600" cy="392400"/>
                <wp:effectExtent l="0" t="0" r="0" b="8255"/>
                <wp:wrapTight wrapText="right">
                  <wp:wrapPolygon edited="0">
                    <wp:start x="0" y="0"/>
                    <wp:lineTo x="0" y="21005"/>
                    <wp:lineTo x="21332" y="21005"/>
                    <wp:lineTo x="2133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lphaTrains_Logos_rgb.jpg.jpg"/>
                        <pic:cNvPicPr/>
                      </pic:nvPicPr>
                      <pic:blipFill>
                        <a:blip r:embed="rId1">
                          <a:extLst>
                            <a:ext uri="{28A0092B-C50C-407E-A947-70E740481C1C}">
                              <a14:useLocalDpi xmlns:a14="http://schemas.microsoft.com/office/drawing/2010/main" val="0"/>
                            </a:ext>
                          </a:extLst>
                        </a:blip>
                        <a:stretch>
                          <a:fillRect/>
                        </a:stretch>
                      </pic:blipFill>
                      <pic:spPr>
                        <a:xfrm>
                          <a:off x="0" y="0"/>
                          <a:ext cx="2199600" cy="392400"/>
                        </a:xfrm>
                        <a:prstGeom prst="rect">
                          <a:avLst/>
                        </a:prstGeom>
                      </pic:spPr>
                    </pic:pic>
                  </a:graphicData>
                </a:graphic>
                <wp14:sizeRelH relativeFrom="margin">
                  <wp14:pctWidth>0</wp14:pctWidth>
                </wp14:sizeRelH>
                <wp14:sizeRelV relativeFrom="margin">
                  <wp14:pctHeight>0</wp14:pctHeight>
                </wp14:sizeRelV>
              </wp:anchor>
            </w:drawing>
          </w:r>
        </w:p>
      </w:tc>
      <w:tc>
        <w:tcPr>
          <w:tcW w:w="2411" w:type="dxa"/>
        </w:tcPr>
        <w:p w14:paraId="0CFC61DD" w14:textId="77777777" w:rsidR="0060421E" w:rsidRDefault="0060421E" w:rsidP="0060421E">
          <w:pPr>
            <w:rPr>
              <w:rFonts w:ascii="Arial" w:hAnsi="Arial" w:cs="Arial"/>
              <w:b/>
              <w:color w:val="808080" w:themeColor="background1" w:themeShade="80"/>
              <w:sz w:val="32"/>
              <w:szCs w:val="32"/>
            </w:rPr>
          </w:pPr>
        </w:p>
      </w:tc>
      <w:tc>
        <w:tcPr>
          <w:tcW w:w="2972" w:type="dxa"/>
          <w:vAlign w:val="center"/>
        </w:tcPr>
        <w:p w14:paraId="49430B77" w14:textId="77777777" w:rsidR="0060421E" w:rsidRPr="00EB390F" w:rsidRDefault="00EB390F" w:rsidP="0060421E">
          <w:pPr>
            <w:jc w:val="center"/>
            <w:rPr>
              <w:rFonts w:ascii="Arial" w:hAnsi="Arial" w:cs="Arial"/>
              <w:b/>
              <w:color w:val="808080" w:themeColor="background1" w:themeShade="80"/>
              <w:sz w:val="32"/>
              <w:szCs w:val="32"/>
              <w:lang w:val="en-US"/>
            </w:rPr>
          </w:pPr>
          <w:r w:rsidRPr="00EB390F">
            <w:rPr>
              <w:rFonts w:ascii="Arial" w:hAnsi="Arial" w:cs="Arial"/>
              <w:b/>
              <w:color w:val="808080" w:themeColor="background1" w:themeShade="80"/>
              <w:sz w:val="32"/>
              <w:szCs w:val="32"/>
              <w:lang w:val="en-US"/>
            </w:rPr>
            <w:t>press release</w:t>
          </w:r>
        </w:p>
      </w:tc>
    </w:tr>
  </w:tbl>
  <w:p w14:paraId="3BC3E7CA" w14:textId="77777777" w:rsidR="00D440D0" w:rsidRPr="00F7192F" w:rsidRDefault="00F7192F" w:rsidP="0060421E">
    <w:pPr>
      <w:rPr>
        <w:sz w:val="32"/>
        <w:szCs w:val="32"/>
      </w:rPr>
    </w:pPr>
    <w:r w:rsidRPr="00F7192F">
      <w:rPr>
        <w:rFonts w:ascii="Arial" w:hAnsi="Arial" w:cs="Arial"/>
        <w:b/>
        <w:color w:val="808080" w:themeColor="background1" w:themeShade="80"/>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855CDB"/>
    <w:multiLevelType w:val="hybridMultilevel"/>
    <w:tmpl w:val="109A26C2"/>
    <w:lvl w:ilvl="0" w:tplc="8F18270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76F7DB6"/>
    <w:multiLevelType w:val="hybridMultilevel"/>
    <w:tmpl w:val="ED383D8A"/>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5AEC47D0"/>
    <w:multiLevelType w:val="hybridMultilevel"/>
    <w:tmpl w:val="88B06464"/>
    <w:lvl w:ilvl="0" w:tplc="8F18270A">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6BA14891"/>
    <w:multiLevelType w:val="hybridMultilevel"/>
    <w:tmpl w:val="2DFEDE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9B3"/>
    <w:rsid w:val="00004A46"/>
    <w:rsid w:val="0010328B"/>
    <w:rsid w:val="0012798C"/>
    <w:rsid w:val="00140715"/>
    <w:rsid w:val="001C3977"/>
    <w:rsid w:val="002620AC"/>
    <w:rsid w:val="002E55A8"/>
    <w:rsid w:val="00300947"/>
    <w:rsid w:val="00322B75"/>
    <w:rsid w:val="003650C4"/>
    <w:rsid w:val="003B6C28"/>
    <w:rsid w:val="0044450B"/>
    <w:rsid w:val="004A5126"/>
    <w:rsid w:val="00505DFF"/>
    <w:rsid w:val="00585EFB"/>
    <w:rsid w:val="00593B60"/>
    <w:rsid w:val="005C3F1A"/>
    <w:rsid w:val="0060421E"/>
    <w:rsid w:val="00632047"/>
    <w:rsid w:val="006B1F67"/>
    <w:rsid w:val="0070278E"/>
    <w:rsid w:val="00783269"/>
    <w:rsid w:val="007E025E"/>
    <w:rsid w:val="007E3BFB"/>
    <w:rsid w:val="00924D09"/>
    <w:rsid w:val="00940B1E"/>
    <w:rsid w:val="009F29AD"/>
    <w:rsid w:val="00A121A5"/>
    <w:rsid w:val="00A36671"/>
    <w:rsid w:val="00AD4F6C"/>
    <w:rsid w:val="00B419B3"/>
    <w:rsid w:val="00B500D5"/>
    <w:rsid w:val="00B7423F"/>
    <w:rsid w:val="00BA11D2"/>
    <w:rsid w:val="00BF2B64"/>
    <w:rsid w:val="00BF78FE"/>
    <w:rsid w:val="00C7568A"/>
    <w:rsid w:val="00D440D0"/>
    <w:rsid w:val="00D87402"/>
    <w:rsid w:val="00DA1A67"/>
    <w:rsid w:val="00E40C97"/>
    <w:rsid w:val="00EB390F"/>
    <w:rsid w:val="00EC0CE7"/>
    <w:rsid w:val="00ED7405"/>
    <w:rsid w:val="00F7192F"/>
    <w:rsid w:val="00F82E12"/>
    <w:rsid w:val="00FC3E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1C258B"/>
  <w15:chartTrackingRefBased/>
  <w15:docId w15:val="{D1001F95-99BC-4F89-8F75-A96E6831D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44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440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40D0"/>
  </w:style>
  <w:style w:type="paragraph" w:styleId="Fuzeile">
    <w:name w:val="footer"/>
    <w:basedOn w:val="Standard"/>
    <w:link w:val="FuzeileZchn"/>
    <w:uiPriority w:val="99"/>
    <w:unhideWhenUsed/>
    <w:rsid w:val="00D440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40D0"/>
  </w:style>
  <w:style w:type="character" w:customStyle="1" w:styleId="berschrift1Zchn">
    <w:name w:val="Überschrift 1 Zchn"/>
    <w:basedOn w:val="Absatz-Standardschriftart"/>
    <w:link w:val="berschrift1"/>
    <w:uiPriority w:val="9"/>
    <w:rsid w:val="00D440D0"/>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59"/>
    <w:rsid w:val="00D440D0"/>
    <w:pPr>
      <w:spacing w:after="0" w:line="240" w:lineRule="auto"/>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nTabelle">
    <w:name w:val="Titel in Tabelle"/>
    <w:basedOn w:val="Standard"/>
    <w:qFormat/>
    <w:rsid w:val="00D440D0"/>
    <w:pPr>
      <w:framePr w:hSpace="141" w:wrap="around" w:vAnchor="text" w:hAnchor="page" w:x="6775" w:y="1"/>
      <w:spacing w:after="0" w:line="240" w:lineRule="auto"/>
    </w:pPr>
    <w:rPr>
      <w:rFonts w:ascii="Arial" w:hAnsi="Arial"/>
      <w:b/>
      <w:color w:val="8F8F8F"/>
      <w:spacing w:val="2"/>
      <w:sz w:val="10"/>
      <w:szCs w:val="10"/>
      <w:lang w:val="de-CH"/>
    </w:rPr>
  </w:style>
  <w:style w:type="paragraph" w:customStyle="1" w:styleId="TextinTabelle">
    <w:name w:val="Text in Tabelle"/>
    <w:basedOn w:val="Standard"/>
    <w:qFormat/>
    <w:rsid w:val="00D440D0"/>
    <w:pPr>
      <w:spacing w:after="0" w:line="240" w:lineRule="auto"/>
    </w:pPr>
    <w:rPr>
      <w:rFonts w:ascii="Arial" w:hAnsi="Arial"/>
      <w:spacing w:val="2"/>
      <w:sz w:val="14"/>
      <w:szCs w:val="14"/>
      <w:lang w:val="de-CH"/>
    </w:rPr>
  </w:style>
  <w:style w:type="paragraph" w:customStyle="1" w:styleId="Grundtext">
    <w:name w:val="Grundtext"/>
    <w:basedOn w:val="Standard"/>
    <w:link w:val="GrundtextZchn"/>
    <w:qFormat/>
    <w:rsid w:val="00632047"/>
    <w:pPr>
      <w:spacing w:after="0" w:line="240" w:lineRule="auto"/>
    </w:pPr>
    <w:rPr>
      <w:rFonts w:ascii="Arial" w:hAnsi="Arial" w:cs="Arial"/>
      <w:sz w:val="20"/>
      <w:szCs w:val="20"/>
      <w:lang w:val="de-CH"/>
    </w:rPr>
  </w:style>
  <w:style w:type="character" w:styleId="Hyperlink">
    <w:name w:val="Hyperlink"/>
    <w:basedOn w:val="Absatz-Standardschriftart"/>
    <w:uiPriority w:val="99"/>
    <w:semiHidden/>
    <w:rsid w:val="00632047"/>
    <w:rPr>
      <w:color w:val="7030A0"/>
      <w:u w:val="single"/>
    </w:rPr>
  </w:style>
  <w:style w:type="paragraph" w:customStyle="1" w:styleId="GrundtextLead">
    <w:name w:val="Grundtext Lead"/>
    <w:basedOn w:val="Grundtext"/>
    <w:qFormat/>
    <w:rsid w:val="00632047"/>
    <w:pPr>
      <w:tabs>
        <w:tab w:val="left" w:pos="2835"/>
      </w:tabs>
      <w:spacing w:line="360" w:lineRule="auto"/>
    </w:pPr>
    <w:rPr>
      <w:b/>
    </w:rPr>
  </w:style>
  <w:style w:type="paragraph" w:customStyle="1" w:styleId="GrundtextKursiv">
    <w:name w:val="Grundtext Kursiv"/>
    <w:basedOn w:val="Grundtext"/>
    <w:qFormat/>
    <w:rsid w:val="00632047"/>
    <w:rPr>
      <w:i/>
    </w:rPr>
  </w:style>
  <w:style w:type="paragraph" w:customStyle="1" w:styleId="GrundtextHyperlink">
    <w:name w:val="Grundtext Hyperlink"/>
    <w:basedOn w:val="Grundtext"/>
    <w:link w:val="GrundtextHyperlinkZchn"/>
    <w:qFormat/>
    <w:rsid w:val="00632047"/>
    <w:rPr>
      <w:i/>
      <w:color w:val="7030A0"/>
      <w:u w:val="single"/>
    </w:rPr>
  </w:style>
  <w:style w:type="character" w:customStyle="1" w:styleId="GrundtextZchn">
    <w:name w:val="Grundtext Zchn"/>
    <w:basedOn w:val="Absatz-Standardschriftart"/>
    <w:link w:val="Grundtext"/>
    <w:rsid w:val="00632047"/>
    <w:rPr>
      <w:rFonts w:ascii="Arial" w:hAnsi="Arial" w:cs="Arial"/>
      <w:sz w:val="20"/>
      <w:szCs w:val="20"/>
      <w:lang w:val="de-CH"/>
    </w:rPr>
  </w:style>
  <w:style w:type="character" w:customStyle="1" w:styleId="GrundtextHyperlinkZchn">
    <w:name w:val="Grundtext Hyperlink Zchn"/>
    <w:basedOn w:val="GrundtextZchn"/>
    <w:link w:val="GrundtextHyperlink"/>
    <w:rsid w:val="00632047"/>
    <w:rPr>
      <w:rFonts w:ascii="Arial" w:hAnsi="Arial" w:cs="Arial"/>
      <w:i/>
      <w:color w:val="7030A0"/>
      <w:sz w:val="20"/>
      <w:szCs w:val="20"/>
      <w:u w:val="single"/>
      <w:lang w:val="de-CH"/>
    </w:rPr>
  </w:style>
  <w:style w:type="paragraph" w:customStyle="1" w:styleId="Bodytext">
    <w:name w:val="Bodytext"/>
    <w:link w:val="BodytextZchn"/>
    <w:qFormat/>
    <w:rsid w:val="009F29AD"/>
    <w:pPr>
      <w:spacing w:after="0" w:line="360" w:lineRule="auto"/>
    </w:pPr>
    <w:rPr>
      <w:rFonts w:ascii="Arial" w:eastAsia="Times New Roman" w:hAnsi="Arial" w:cs="Times New Roman"/>
      <w:szCs w:val="20"/>
      <w:lang w:eastAsia="de-DE"/>
    </w:rPr>
  </w:style>
  <w:style w:type="character" w:customStyle="1" w:styleId="BodytextZchn">
    <w:name w:val="Bodytext Zchn"/>
    <w:basedOn w:val="Absatz-Standardschriftart"/>
    <w:link w:val="Bodytext"/>
    <w:locked/>
    <w:rsid w:val="009F29AD"/>
    <w:rPr>
      <w:rFonts w:ascii="Arial" w:eastAsia="Times New Roman" w:hAnsi="Arial" w:cs="Times New Roman"/>
      <w:szCs w:val="20"/>
      <w:lang w:eastAsia="de-DE"/>
    </w:rPr>
  </w:style>
  <w:style w:type="paragraph" w:styleId="Sprechblasentext">
    <w:name w:val="Balloon Text"/>
    <w:basedOn w:val="Standard"/>
    <w:link w:val="SprechblasentextZchn"/>
    <w:uiPriority w:val="99"/>
    <w:semiHidden/>
    <w:unhideWhenUsed/>
    <w:rsid w:val="004445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45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alphatrains.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641246E9D94437390A492D11EC08210"/>
        <w:category>
          <w:name w:val="Allgemein"/>
          <w:gallery w:val="placeholder"/>
        </w:category>
        <w:types>
          <w:type w:val="bbPlcHdr"/>
        </w:types>
        <w:behaviors>
          <w:behavior w:val="content"/>
        </w:behaviors>
        <w:guid w:val="{6DEA96E3-7AA4-40C0-9441-2B6643D7819B}"/>
      </w:docPartPr>
      <w:docPartBody>
        <w:p w:rsidR="00CB3995" w:rsidRDefault="00CB3995">
          <w:pPr>
            <w:pStyle w:val="0641246E9D94437390A492D11EC08210"/>
          </w:pPr>
          <w:r w:rsidRPr="00C63396">
            <w:rPr>
              <w:rStyle w:val="Platzhaltertext"/>
            </w:rPr>
            <w:t>Klicken Sie hier, um ein Datum einzugeben.</w:t>
          </w:r>
        </w:p>
      </w:docPartBody>
    </w:docPart>
    <w:docPart>
      <w:docPartPr>
        <w:name w:val="DDA89B99798A4D77BC0C3D9D43FB5B17"/>
        <w:category>
          <w:name w:val="Allgemein"/>
          <w:gallery w:val="placeholder"/>
        </w:category>
        <w:types>
          <w:type w:val="bbPlcHdr"/>
        </w:types>
        <w:behaviors>
          <w:behavior w:val="content"/>
        </w:behaviors>
        <w:guid w:val="{3D134AF4-D73A-4B3E-B27A-654F965D99E7}"/>
      </w:docPartPr>
      <w:docPartBody>
        <w:p w:rsidR="00CB3995" w:rsidRDefault="00CB3995">
          <w:pPr>
            <w:pStyle w:val="DDA89B99798A4D77BC0C3D9D43FB5B17"/>
          </w:pPr>
          <w:r w:rsidRPr="00C63396">
            <w:rPr>
              <w:rStyle w:val="Platzhaltertext"/>
            </w:rPr>
            <w:t>Klicken Sie hier, um Text einzugeben.</w:t>
          </w:r>
        </w:p>
      </w:docPartBody>
    </w:docPart>
    <w:docPart>
      <w:docPartPr>
        <w:name w:val="4F4DEFCC09F14113A39204AB4C9C97A8"/>
        <w:category>
          <w:name w:val="Allgemein"/>
          <w:gallery w:val="placeholder"/>
        </w:category>
        <w:types>
          <w:type w:val="bbPlcHdr"/>
        </w:types>
        <w:behaviors>
          <w:behavior w:val="content"/>
        </w:behaviors>
        <w:guid w:val="{F5E98F38-A0DD-4FF3-8DFE-BD3055DEF8F9}"/>
      </w:docPartPr>
      <w:docPartBody>
        <w:p w:rsidR="00CB3995" w:rsidRDefault="00CB3995">
          <w:pPr>
            <w:pStyle w:val="4F4DEFCC09F14113A39204AB4C9C97A8"/>
          </w:pPr>
          <w:r w:rsidRPr="00C63396">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995"/>
    <w:rsid w:val="00CB3995"/>
    <w:rsid w:val="00DD1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641246E9D94437390A492D11EC08210">
    <w:name w:val="0641246E9D94437390A492D11EC08210"/>
  </w:style>
  <w:style w:type="paragraph" w:customStyle="1" w:styleId="DDA89B99798A4D77BC0C3D9D43FB5B17">
    <w:name w:val="DDA89B99798A4D77BC0C3D9D43FB5B17"/>
  </w:style>
  <w:style w:type="paragraph" w:customStyle="1" w:styleId="4F4DEFCC09F14113A39204AB4C9C97A8">
    <w:name w:val="4F4DEFCC09F14113A39204AB4C9C97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CD3836AD0CED47AF6B37F83FE24D63" ma:contentTypeVersion="10" ma:contentTypeDescription="Create a new document." ma:contentTypeScope="" ma:versionID="1096d4fa19995be66058bbe3488bf9f2">
  <xsd:schema xmlns:xsd="http://www.w3.org/2001/XMLSchema" xmlns:xs="http://www.w3.org/2001/XMLSchema" xmlns:p="http://schemas.microsoft.com/office/2006/metadata/properties" xmlns:ns2="1b26c8d3-b103-4a20-8f57-dd4dea0cbd8b" targetNamespace="http://schemas.microsoft.com/office/2006/metadata/properties" ma:root="true" ma:fieldsID="043a8a460c71ad42ebbae574b7b6f6bb" ns2:_="">
    <xsd:import namespace="1b26c8d3-b103-4a20-8f57-dd4dea0cbd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6c8d3-b103-4a20-8f57-dd4dea0cb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6253F4-9222-483D-83C9-D21609C6E7E4}">
  <ds:schemaRefs>
    <ds:schemaRef ds:uri="http://schemas.microsoft.com/office/infopath/2007/PartnerControls"/>
    <ds:schemaRef ds:uri="http://purl.org/dc/elements/1.1/"/>
    <ds:schemaRef ds:uri="http://schemas.microsoft.com/office/2006/metadata/properties"/>
    <ds:schemaRef ds:uri="1b26c8d3-b103-4a20-8f57-dd4dea0cbd8b"/>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BA32B658-15C2-4147-A478-438C05DD4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6c8d3-b103-4a20-8f57-dd4dea0cb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8CC9B6-C0A2-4B2F-AB45-43FD127C1F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3288</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Elke Diederich</dc:creator>
  <cp:keywords/>
  <dc:description/>
  <cp:lastModifiedBy>Heike Zimmermann</cp:lastModifiedBy>
  <cp:revision>3</cp:revision>
  <dcterms:created xsi:type="dcterms:W3CDTF">2020-07-27T14:07:00Z</dcterms:created>
  <dcterms:modified xsi:type="dcterms:W3CDTF">2020-07-27T14:24:00Z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0x01010077CD3836AD0CED47AF6B37F83FE24D63</vt:lpwstr>
  </property>
</Properties>
</file>